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left w:val="none"/>
          <w:bottom w:val="none"/>
          <w:right w:val="none"/>
          <w:insideH w:val="none"/>
          <w:insideV w:val="none"/>
        </w:tblBorders>
      </w:tblPr>
      <w:tblGrid>
        <w:gridCol w:w="100"/>
      </w:tblGrid>
      <w:tr>
        <w:tc>
          <w:tcPr>
            <w:tcW w:type="pct" w:w="100%"/>
            <w:shd w:fill="0D0D0D" w:val="clear"/>
            <w:tcMar>
              <w:top w:type="dxa" w:w="260"/>
              <w:left w:type="dxa" w:w="300"/>
              <w:bottom w:type="dxa" w:w="260"/>
              <w:right w:type="dxa" w:w="300"/>
            </w:tcMar>
          </w:tcPr>
          <w:p>
            <w:pPr>
              <w:spacing w:after="40"/>
            </w:pPr>
            <w:r>
              <w:drawing>
                <wp:inline distT="0" distB="0" distL="0" distR="0">
                  <wp:extent cx="38100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1000" cy="381000"/>
                          </a:xfrm>
                          <a:prstGeom prst="rect">
                            <a:avLst/>
                          </a:prstGeom>
                        </pic:spPr>
                      </pic:pic>
                    </a:graphicData>
                  </a:graphic>
                </wp:inline>
              </w:drawing>
              <w:t xml:space="preserve">  </w:t>
            </w:r>
            <w:r>
              <w:rPr>
                <w:rFonts w:ascii="Arial" w:cs="Arial" w:eastAsia="Arial" w:hAnsi="Arial"/>
                <w:b/>
                <w:bCs/>
                <w:color w:val="FFFFFF"/>
                <w:sz w:val="40"/>
                <w:szCs w:val="40"/>
              </w:rPr>
              <w:t xml:space="preserve">Greydog</w:t>
            </w:r>
            <w:r>
              <w:rPr>
                <w:rFonts w:ascii="Arial" w:cs="Arial" w:eastAsia="Arial" w:hAnsi="Arial"/>
                <w:b/>
                <w:bCs/>
                <w:color w:val="C0392B"/>
                <w:sz w:val="40"/>
                <w:szCs w:val="40"/>
              </w:rPr>
              <w:t xml:space="preserve">.</w:t>
            </w:r>
            <w:r>
              <w:rPr>
                <w:rFonts w:ascii="Arial" w:cs="Arial" w:eastAsia="Arial" w:hAnsi="Arial"/>
                <w:b/>
                <w:bCs/>
                <w:color w:val="FFFFFF"/>
                <w:sz w:val="40"/>
                <w:szCs w:val="40"/>
              </w:rPr>
              <w:t xml:space="preserve">AI</w:t>
            </w:r>
          </w:p>
          <w:p>
            <w:pPr>
              <w:spacing w:after="0"/>
              <w:ind w:left="640"/>
            </w:pPr>
            <w:r>
              <w:rPr>
                <w:rFonts w:ascii="Arial" w:cs="Arial" w:eastAsia="Arial" w:hAnsi="Arial"/>
                <w:color w:val="9A9A9A"/>
                <w:spacing w:val="20"/>
                <w:sz w:val="14"/>
                <w:szCs w:val="14"/>
              </w:rPr>
              <w:t xml:space="preserve">OLD DOGS.  NEW TRICKS.  REAL RESULTS.</w:t>
            </w:r>
          </w:p>
        </w:tc>
      </w:tr>
    </w:tbl>
    <w:p>
      <w:pPr>
        <w:spacing w:after="60" w:before="420"/>
      </w:pPr>
      <w:r>
        <w:rPr>
          <w:rFonts w:ascii="Arial" w:cs="Arial" w:eastAsia="Arial" w:hAnsi="Arial"/>
          <w:b/>
          <w:bCs/>
          <w:color w:val="0D0D0D"/>
          <w:sz w:val="52"/>
          <w:szCs w:val="52"/>
        </w:rPr>
        <w:t xml:space="preserve">What We Do and How We Do It</w:t>
      </w:r>
    </w:p>
    <w:p>
      <w:pPr>
        <w:spacing w:after="200"/>
      </w:pPr>
      <w:r>
        <w:rPr>
          <w:rFonts w:ascii="Arial" w:cs="Arial" w:eastAsia="Arial" w:hAnsi="Arial"/>
          <w:color w:val="6B6B6B"/>
          <w:sz w:val="22"/>
          <w:szCs w:val="22"/>
        </w:rPr>
        <w:t xml:space="preserve">A plain-language introduction to Greydog AI</w:t>
      </w:r>
    </w:p>
    <w:p>
      <w:pPr>
        <w:spacing w:after="300"/>
      </w:pPr>
      <w:r>
        <w:rPr>
          <w:rFonts w:ascii="Arial" w:cs="Arial" w:eastAsia="Arial" w:hAnsi="Arial"/>
          <w:color w:val="9A9A9A"/>
          <w:sz w:val="18"/>
          <w:szCs w:val="18"/>
        </w:rPr>
        <w:t xml:space="preserve">Greydog AI  ·  nikola@greydog.ai  ·  greydog.ai</w:t>
      </w:r>
    </w:p>
    <w:p>
      <w:pPr>
        <w:pStyle w:val="Heading1"/>
        <w:spacing w:after="140" w:before="340"/>
      </w:pPr>
      <w:r>
        <w:rPr>
          <w:rFonts w:ascii="Arial" w:cs="Arial" w:eastAsia="Arial" w:hAnsi="Arial"/>
          <w:b/>
          <w:bCs/>
          <w:color w:val="0D0D0D"/>
          <w:sz w:val="27"/>
          <w:szCs w:val="27"/>
        </w:rPr>
        <w:t xml:space="preserve">Who We Are</w:t>
      </w:r>
    </w:p>
    <w:p>
      <w:pPr>
        <w:spacing w:after="140" w:line="300"/>
      </w:pPr>
      <w:r>
        <w:rPr>
          <w:rFonts w:ascii="Arial" w:cs="Arial" w:eastAsia="Arial" w:hAnsi="Arial"/>
          <w:i w:val="false"/>
          <w:iCs w:val="false"/>
          <w:color w:val="0D0D0D"/>
          <w:sz w:val="20"/>
          <w:szCs w:val="20"/>
        </w:rPr>
        <w:t xml:space="preserve">Greydog AI is an AI-augmented consulting practice based in Phoenix, Arizona. We help organizations understand what artificial intelligence can realistically do for them — and then we help them do it.</w:t>
      </w:r>
    </w:p>
    <w:p>
      <w:pPr>
        <w:spacing w:after="140" w:line="300"/>
      </w:pPr>
      <w:r>
        <w:rPr>
          <w:rFonts w:ascii="Arial" w:cs="Arial" w:eastAsia="Arial" w:hAnsi="Arial"/>
          <w:i w:val="false"/>
          <w:iCs w:val="false"/>
          <w:color w:val="0D0D0D"/>
          <w:sz w:val="20"/>
          <w:szCs w:val="20"/>
        </w:rPr>
        <w:t xml:space="preserve">We are not a software vendor. We are not an agency. We are a small, experienced team that combines 20 years of consulting practice with modern AI capability to deliver faster, sharper, and more accountable engagements than the traditional model allows.</w:t>
      </w:r>
    </w:p>
    <w:p>
      <w:pPr>
        <w:pStyle w:val="Heading1"/>
        <w:spacing w:after="140" w:before="340"/>
      </w:pPr>
      <w:r>
        <w:rPr>
          <w:rFonts w:ascii="Arial" w:cs="Arial" w:eastAsia="Arial" w:hAnsi="Arial"/>
          <w:b/>
          <w:bCs/>
          <w:color w:val="0D0D0D"/>
          <w:sz w:val="27"/>
          <w:szCs w:val="27"/>
        </w:rPr>
        <w:t xml:space="preserve">The Problem We Solve</w:t>
      </w:r>
    </w:p>
    <w:p>
      <w:pPr>
        <w:spacing w:after="140" w:line="300"/>
      </w:pPr>
      <w:r>
        <w:rPr>
          <w:rFonts w:ascii="Arial" w:cs="Arial" w:eastAsia="Arial" w:hAnsi="Arial"/>
          <w:i w:val="false"/>
          <w:iCs w:val="false"/>
          <w:color w:val="0D0D0D"/>
          <w:sz w:val="20"/>
          <w:szCs w:val="20"/>
        </w:rPr>
        <w:t xml:space="preserve">Most organizations sit somewhere between two failure modes:</w:t>
      </w:r>
    </w:p>
    <w:p>
      <w:pPr>
        <w:pStyle w:val="ListParagraph"/>
        <w:numPr>
          <w:ilvl w:val="0"/>
          <w:numId w:val="2"/>
        </w:numPr>
        <w:spacing w:after="90" w:line="290"/>
      </w:pPr>
      <w:r>
        <w:rPr>
          <w:rFonts w:ascii="Arial" w:cs="Arial" w:eastAsia="Arial" w:hAnsi="Arial"/>
          <w:color w:val="0D0D0D"/>
          <w:sz w:val="20"/>
          <w:szCs w:val="20"/>
        </w:rPr>
        <w:t xml:space="preserve">They know AI is important but don't know where to start — so they don't.</w:t>
      </w:r>
    </w:p>
    <w:p>
      <w:pPr>
        <w:pStyle w:val="ListParagraph"/>
        <w:numPr>
          <w:ilvl w:val="0"/>
          <w:numId w:val="2"/>
        </w:numPr>
        <w:spacing w:after="90" w:line="290"/>
      </w:pPr>
      <w:r>
        <w:rPr>
          <w:rFonts w:ascii="Arial" w:cs="Arial" w:eastAsia="Arial" w:hAnsi="Arial"/>
          <w:color w:val="0D0D0D"/>
          <w:sz w:val="20"/>
          <w:szCs w:val="20"/>
        </w:rPr>
        <w:t xml:space="preserve">They've started AI projects that haven't delivered — so they've lost confidence.</w:t>
      </w:r>
    </w:p>
    <w:p>
      <w:pPr>
        <w:spacing w:after="140" w:line="300"/>
      </w:pPr>
      <w:r>
        <w:rPr>
          <w:rFonts w:ascii="Arial" w:cs="Arial" w:eastAsia="Arial" w:hAnsi="Arial"/>
          <w:i w:val="false"/>
          <w:iCs w:val="false"/>
          <w:color w:val="0D0D0D"/>
          <w:sz w:val="20"/>
          <w:szCs w:val="20"/>
        </w:rPr>
        <w:t xml:space="preserve">Both problems share a root cause: the gap between AI as a technology conversation and AI as a business result.</w:t>
      </w:r>
    </w:p>
    <w:p>
      <w:pPr>
        <w:spacing w:after="140" w:line="300"/>
      </w:pPr>
      <w:r>
        <w:rPr>
          <w:rFonts w:ascii="Arial" w:cs="Arial" w:eastAsia="Arial" w:hAnsi="Arial"/>
          <w:i w:val="false"/>
          <w:iCs w:val="false"/>
          <w:color w:val="0D0D0D"/>
          <w:sz w:val="20"/>
          <w:szCs w:val="20"/>
        </w:rPr>
        <w:t xml:space="preserve">We close that gap. Not with a framework. Not with a software pitch. We start by learning how your organization actually works — your goals, your customers, your pain points, and where the real friction is. Then we find exactly where AI creates value for you, and we build it.</w:t>
      </w:r>
    </w:p>
    <w:p>
      <w:pPr>
        <w:pStyle w:val="Heading1"/>
        <w:spacing w:after="140" w:before="340"/>
      </w:pPr>
      <w:r>
        <w:rPr>
          <w:rFonts w:ascii="Arial" w:cs="Arial" w:eastAsia="Arial" w:hAnsi="Arial"/>
          <w:b/>
          <w:bCs/>
          <w:color w:val="0D0D0D"/>
          <w:sz w:val="27"/>
          <w:szCs w:val="27"/>
        </w:rPr>
        <w:t xml:space="preserve">How We Work</w:t>
      </w:r>
    </w:p>
    <w:p>
      <w:pPr>
        <w:spacing w:after="140" w:line="300"/>
      </w:pPr>
      <w:r>
        <w:rPr>
          <w:rFonts w:ascii="Arial" w:cs="Arial" w:eastAsia="Arial" w:hAnsi="Arial"/>
          <w:i w:val="false"/>
          <w:iCs w:val="false"/>
          <w:color w:val="0D0D0D"/>
          <w:sz w:val="20"/>
          <w:szCs w:val="20"/>
        </w:rPr>
        <w:t xml:space="preserve">Every engagement begins with understanding — not with recommendations. We've seen too many organizations handed strategies built on assumptions. We don't do that.</w:t>
      </w:r>
    </w:p>
    <w:p>
      <w:pPr>
        <w:pStyle w:val="Heading2"/>
        <w:spacing w:after="100" w:before="260"/>
      </w:pPr>
      <w:r>
        <w:rPr>
          <w:rFonts w:ascii="Arial" w:cs="Arial" w:eastAsia="Arial" w:hAnsi="Arial"/>
          <w:b/>
          <w:bCs/>
          <w:color w:val="0D0D0D"/>
          <w:sz w:val="22"/>
          <w:szCs w:val="22"/>
        </w:rPr>
        <w:t xml:space="preserve">Step 1 — Kickoff</w:t>
      </w:r>
    </w:p>
    <w:p>
      <w:pPr>
        <w:spacing w:after="140" w:line="300"/>
      </w:pPr>
      <w:r>
        <w:rPr>
          <w:rFonts w:ascii="Arial" w:cs="Arial" w:eastAsia="Arial" w:hAnsi="Arial"/>
          <w:i w:val="false"/>
          <w:iCs w:val="false"/>
          <w:color w:val="0D0D0D"/>
          <w:sz w:val="20"/>
          <w:szCs w:val="20"/>
        </w:rPr>
        <w:t xml:space="preserve">Before any work begins, we set the foundation. A short, structured session to introduce the people on both sides, establish communication channels, set up any shared distribution lists, and agree on a cadence for sync calls throughout the engagement.</w:t>
      </w:r>
    </w:p>
    <w:p>
      <w:pPr>
        <w:spacing w:after="140" w:line="300"/>
      </w:pPr>
      <w:r>
        <w:rPr>
          <w:rFonts w:ascii="Arial" w:cs="Arial" w:eastAsia="Arial" w:hAnsi="Arial"/>
          <w:i w:val="false"/>
          <w:iCs w:val="false"/>
          <w:color w:val="0D0D0D"/>
          <w:sz w:val="20"/>
          <w:szCs w:val="20"/>
        </w:rPr>
        <w:t xml:space="preserve">This takes less than an hour. It prevents a dozen problems down the road.</w:t>
      </w:r>
    </w:p>
    <w:p>
      <w:pPr>
        <w:pStyle w:val="Heading2"/>
        <w:spacing w:after="100" w:before="260"/>
      </w:pPr>
      <w:r>
        <w:rPr>
          <w:rFonts w:ascii="Arial" w:cs="Arial" w:eastAsia="Arial" w:hAnsi="Arial"/>
          <w:b/>
          <w:bCs/>
          <w:color w:val="0D0D0D"/>
          <w:sz w:val="22"/>
          <w:szCs w:val="22"/>
        </w:rPr>
        <w:t xml:space="preserve">Step 2 — The Assessment</w:t>
      </w:r>
    </w:p>
    <w:p>
      <w:pPr>
        <w:spacing w:after="140" w:line="300"/>
      </w:pPr>
      <w:r>
        <w:rPr>
          <w:rFonts w:ascii="Arial" w:cs="Arial" w:eastAsia="Arial" w:hAnsi="Arial"/>
          <w:i w:val="false"/>
          <w:iCs w:val="false"/>
          <w:color w:val="0D0D0D"/>
          <w:sz w:val="20"/>
          <w:szCs w:val="20"/>
        </w:rPr>
        <w:t xml:space="preserve">A focused session. We get specific about your situation — what you're trying to achieve, what's getting in the way, and what the right scope of work looks like for you. No assumptions. No templates. The Assessment is where we earn the right to recommend anything.</w:t>
      </w:r>
    </w:p>
    <w:p>
      <w:pPr>
        <w:pStyle w:val="Heading2"/>
        <w:spacing w:after="100" w:before="260"/>
      </w:pPr>
      <w:r>
        <w:rPr>
          <w:rFonts w:ascii="Arial" w:cs="Arial" w:eastAsia="Arial" w:hAnsi="Arial"/>
          <w:b/>
          <w:bCs/>
          <w:color w:val="0D0D0D"/>
          <w:sz w:val="22"/>
          <w:szCs w:val="22"/>
        </w:rPr>
        <w:t xml:space="preserve">Step 3 — Discovery</w:t>
      </w:r>
    </w:p>
    <w:p>
      <w:pPr>
        <w:spacing w:after="140" w:line="300"/>
      </w:pPr>
      <w:r>
        <w:rPr>
          <w:rFonts w:ascii="Arial" w:cs="Arial" w:eastAsia="Arial" w:hAnsi="Arial"/>
          <w:i w:val="false"/>
          <w:iCs w:val="false"/>
          <w:color w:val="0D0D0D"/>
          <w:sz w:val="20"/>
          <w:szCs w:val="20"/>
        </w:rPr>
        <w:t xml:space="preserve">If the Assessment confirms there's meaningful opportunity, we go deeper. Discovery moves at AI speed — typically a small number of focused sessions rather than a multi-week calendar block — and includes:</w:t>
      </w:r>
    </w:p>
    <w:p>
      <w:pPr>
        <w:pStyle w:val="ListParagraph"/>
        <w:numPr>
          <w:ilvl w:val="0"/>
          <w:numId w:val="2"/>
        </w:numPr>
        <w:spacing w:after="90" w:line="290"/>
      </w:pPr>
      <w:r>
        <w:rPr>
          <w:rFonts w:ascii="Arial" w:cs="Arial" w:eastAsia="Arial" w:hAnsi="Arial"/>
          <w:color w:val="0D0D0D"/>
          <w:sz w:val="20"/>
          <w:szCs w:val="20"/>
        </w:rPr>
        <w:t xml:space="preserve">We understand what you're actually trying to achieve — your goals, your customers, and what success genuinely looks like</w:t>
      </w:r>
    </w:p>
    <w:p>
      <w:pPr>
        <w:pStyle w:val="ListParagraph"/>
        <w:numPr>
          <w:ilvl w:val="0"/>
          <w:numId w:val="2"/>
        </w:numPr>
        <w:spacing w:after="90" w:line="290"/>
      </w:pPr>
      <w:r>
        <w:rPr>
          <w:rFonts w:ascii="Arial" w:cs="Arial" w:eastAsia="Arial" w:hAnsi="Arial"/>
          <w:color w:val="0D0D0D"/>
          <w:sz w:val="20"/>
          <w:szCs w:val="20"/>
        </w:rPr>
        <w:t xml:space="preserve">We learn how value actually flows through your organization — where it moves well, where it stalls, and where time and money disappear</w:t>
      </w:r>
    </w:p>
    <w:p>
      <w:pPr>
        <w:pStyle w:val="ListParagraph"/>
        <w:numPr>
          <w:ilvl w:val="0"/>
          <w:numId w:val="2"/>
        </w:numPr>
        <w:spacing w:after="90" w:line="290"/>
      </w:pPr>
      <w:r>
        <w:rPr>
          <w:rFonts w:ascii="Arial" w:cs="Arial" w:eastAsia="Arial" w:hAnsi="Arial"/>
          <w:color w:val="0D0D0D"/>
          <w:sz w:val="20"/>
          <w:szCs w:val="20"/>
        </w:rPr>
        <w:t xml:space="preserve">AI opportunity mapping — specific, prioritized opportunities tied to measurable outcomes</w:t>
      </w:r>
    </w:p>
    <w:p>
      <w:pPr>
        <w:spacing w:after="140" w:line="300"/>
      </w:pPr>
      <w:r>
        <w:rPr>
          <w:rFonts w:ascii="Arial" w:cs="Arial" w:eastAsia="Arial" w:hAnsi="Arial"/>
          <w:i w:val="false"/>
          <w:iCs w:val="false"/>
          <w:color w:val="0D0D0D"/>
          <w:sz w:val="20"/>
          <w:szCs w:val="20"/>
        </w:rPr>
        <w:t xml:space="preserve">Discovery ends with a prioritized action plan. Not a deck. Not a concept. A list of things to actually do, sequenced by impact and feasibility, each tied to a specific outcome.</w:t>
      </w:r>
    </w:p>
    <w:p>
      <w:pPr>
        <w:pStyle w:val="Heading2"/>
        <w:spacing w:after="100" w:before="260"/>
      </w:pPr>
      <w:r>
        <w:rPr>
          <w:rFonts w:ascii="Arial" w:cs="Arial" w:eastAsia="Arial" w:hAnsi="Arial"/>
          <w:b/>
          <w:bCs/>
          <w:color w:val="0D0D0D"/>
          <w:sz w:val="22"/>
          <w:szCs w:val="22"/>
        </w:rPr>
        <w:t xml:space="preserve">Step 4 — Implementation Support</w:t>
      </w:r>
    </w:p>
    <w:p>
      <w:pPr>
        <w:spacing w:after="140" w:line="300"/>
      </w:pPr>
      <w:r>
        <w:rPr>
          <w:rFonts w:ascii="Arial" w:cs="Arial" w:eastAsia="Arial" w:hAnsi="Arial"/>
          <w:i w:val="false"/>
          <w:iCs w:val="false"/>
          <w:color w:val="0D0D0D"/>
          <w:sz w:val="20"/>
          <w:szCs w:val="20"/>
        </w:rPr>
        <w:t xml:space="preserve">For organizations ready to act, we stay through implementation. This is where most consulting models fail — they hand you a plan and leave. We don't. We coach, coordinate, and hold accountability through delivery.</w:t>
      </w:r>
    </w:p>
    <w:p>
      <w:pPr>
        <w:pStyle w:val="Heading2"/>
        <w:spacing w:after="100" w:before="260"/>
      </w:pPr>
      <w:r>
        <w:rPr>
          <w:rFonts w:ascii="Arial" w:cs="Arial" w:eastAsia="Arial" w:hAnsi="Arial"/>
          <w:b/>
          <w:bCs/>
          <w:color w:val="0D0D0D"/>
          <w:sz w:val="22"/>
          <w:szCs w:val="22"/>
        </w:rPr>
        <w:t xml:space="preserve">Step 5 — Closeout</w:t>
      </w:r>
    </w:p>
    <w:p>
      <w:pPr>
        <w:spacing w:after="140" w:line="300"/>
      </w:pPr>
      <w:r>
        <w:rPr>
          <w:rFonts w:ascii="Arial" w:cs="Arial" w:eastAsia="Arial" w:hAnsi="Arial"/>
          <w:i w:val="false"/>
          <w:iCs w:val="false"/>
          <w:color w:val="0D0D0D"/>
          <w:sz w:val="20"/>
          <w:szCs w:val="20"/>
        </w:rPr>
        <w:t xml:space="preserve">Every engagement ends with a formal close. We hand over a structured action plan organized by the Now / Next / Later method — what to act on immediately, what to sequence next, and what to revisit later. We also offer to translate these priorities directly into user stories or work items, ready to drop into your team's existing work tracking tool.</w:t>
      </w:r>
    </w:p>
    <w:p>
      <w:pPr>
        <w:spacing w:after="140" w:line="300"/>
      </w:pPr>
      <w:r>
        <w:rPr>
          <w:rFonts w:ascii="Arial" w:cs="Arial" w:eastAsia="Arial" w:hAnsi="Arial"/>
          <w:i w:val="false"/>
          <w:iCs w:val="false"/>
          <w:color w:val="0D0D0D"/>
          <w:sz w:val="20"/>
          <w:szCs w:val="20"/>
        </w:rPr>
        <w:t xml:space="preserve">Nothing falls through the cracks. You leave with something your team can actually use on Monday.</w:t>
      </w:r>
    </w:p>
    <w:p>
      <w:pPr>
        <w:pStyle w:val="Heading2"/>
        <w:spacing w:after="100" w:before="260"/>
      </w:pPr>
      <w:r>
        <w:rPr>
          <w:rFonts w:ascii="Arial" w:cs="Arial" w:eastAsia="Arial" w:hAnsi="Arial"/>
          <w:b/>
          <w:bCs/>
          <w:color w:val="0D0D0D"/>
          <w:sz w:val="22"/>
          <w:szCs w:val="22"/>
        </w:rPr>
        <w:t xml:space="preserve">Step 6 — 30 / 60 / 90 Day Check-ins</w:t>
      </w:r>
    </w:p>
    <w:p>
      <w:pPr>
        <w:spacing w:after="140" w:line="300"/>
      </w:pPr>
      <w:r>
        <w:rPr>
          <w:rFonts w:ascii="Arial" w:cs="Arial" w:eastAsia="Arial" w:hAnsi="Arial"/>
          <w:i w:val="false"/>
          <w:iCs w:val="false"/>
          <w:color w:val="0D0D0D"/>
          <w:sz w:val="20"/>
          <w:szCs w:val="20"/>
        </w:rPr>
        <w:t xml:space="preserve">Three structured check-ins after close — at 30, 60, and 90 days. We review what's landed, what's stuck, and whether the priorities need adjusting based on what you've learned in implementation. Included in every engagement, no additional cost.</w:t>
      </w:r>
    </w:p>
    <w:p>
      <w:pPr>
        <w:pStyle w:val="Heading2"/>
        <w:spacing w:after="100" w:before="260"/>
      </w:pPr>
      <w:r>
        <w:rPr>
          <w:rFonts w:ascii="Arial" w:cs="Arial" w:eastAsia="Arial" w:hAnsi="Arial"/>
          <w:b/>
          <w:bCs/>
          <w:color w:val="0D0D0D"/>
          <w:sz w:val="22"/>
          <w:szCs w:val="22"/>
        </w:rPr>
        <w:t xml:space="preserve">Kaizen — Optional Ongoing Advisory</w:t>
      </w:r>
    </w:p>
    <w:p>
      <w:pPr>
        <w:spacing w:after="140" w:line="300"/>
      </w:pPr>
      <w:r>
        <w:rPr>
          <w:rFonts w:ascii="Arial" w:cs="Arial" w:eastAsia="Arial" w:hAnsi="Arial"/>
          <w:i w:val="false"/>
          <w:iCs w:val="false"/>
          <w:color w:val="0D0D0D"/>
          <w:sz w:val="20"/>
          <w:szCs w:val="20"/>
        </w:rPr>
        <w:t xml:space="preserve">For organizations that want continued improvement after the engagement closes, Kaizen is an optional add-on available with any package. It centers on recurring, anonymous employee interviews — what the people doing the work know that leadership can't see — feeding real problems into an ongoing loop of real fixes, plus strategic check-ins and a standing point of contact who already knows your business. Priced per package based on scope and cadence.</w:t>
      </w:r>
    </w:p>
    <w:p>
      <w:r>
        <w:br w:type="page"/>
      </w:r>
    </w:p>
    <w:p>
      <w:pPr>
        <w:pStyle w:val="Heading1"/>
        <w:spacing w:after="140" w:before="340"/>
      </w:pPr>
      <w:r>
        <w:rPr>
          <w:rFonts w:ascii="Arial" w:cs="Arial" w:eastAsia="Arial" w:hAnsi="Arial"/>
          <w:b/>
          <w:bCs/>
          <w:color w:val="0D0D0D"/>
          <w:sz w:val="27"/>
          <w:szCs w:val="27"/>
        </w:rPr>
        <w:t xml:space="preserve">What Makes Us Different</w:t>
      </w:r>
    </w:p>
    <w:p>
      <w:pPr>
        <w:spacing w:after="60" w:before="200"/>
      </w:pPr>
      <w:r>
        <w:rPr>
          <w:rFonts w:ascii="Arial" w:cs="Arial" w:eastAsia="Arial" w:hAnsi="Arial"/>
          <w:b/>
          <w:bCs/>
          <w:color w:val="C0392B"/>
          <w:sz w:val="19"/>
          <w:szCs w:val="19"/>
        </w:rPr>
        <w:t xml:space="preserve">We build exactly what you need — nothing more</w:t>
      </w:r>
    </w:p>
    <w:p>
      <w:pPr>
        <w:spacing w:after="140" w:line="300"/>
      </w:pPr>
      <w:r>
        <w:rPr>
          <w:rFonts w:ascii="Arial" w:cs="Arial" w:eastAsia="Arial" w:hAnsi="Arial"/>
          <w:i w:val="false"/>
          <w:iCs w:val="false"/>
          <w:color w:val="0D0D0D"/>
          <w:sz w:val="20"/>
          <w:szCs w:val="20"/>
        </w:rPr>
        <w:t xml:space="preserve">We don't overbuild. We don't recommend technology that doesn't connect to a real outcome you told us matters. What we deliver is fit-for-purpose — built for your specific situation, not adapted from a template. Our measure of success is whether it helped your customers and your business, not how much we produced.</w:t>
      </w:r>
    </w:p>
    <w:p>
      <w:pPr>
        <w:spacing w:after="60" w:before="200"/>
      </w:pPr>
      <w:r>
        <w:rPr>
          <w:rFonts w:ascii="Arial" w:cs="Arial" w:eastAsia="Arial" w:hAnsi="Arial"/>
          <w:b/>
          <w:bCs/>
          <w:color w:val="C0392B"/>
          <w:sz w:val="19"/>
          <w:szCs w:val="19"/>
        </w:rPr>
        <w:t xml:space="preserve">We're framework-agnostic</w:t>
      </w:r>
    </w:p>
    <w:p>
      <w:pPr>
        <w:spacing w:after="140" w:line="300"/>
      </w:pPr>
      <w:r>
        <w:rPr>
          <w:rFonts w:ascii="Arial" w:cs="Arial" w:eastAsia="Arial" w:hAnsi="Arial"/>
          <w:i w:val="false"/>
          <w:iCs w:val="false"/>
          <w:color w:val="0D0D0D"/>
          <w:sz w:val="20"/>
          <w:szCs w:val="20"/>
        </w:rPr>
        <w:t xml:space="preserve">We don't have a signature methodology to sell you. We use what fits your situation. If a simple process change solves the problem, that's what we recommend — not a six-month transformation program.</w:t>
      </w:r>
    </w:p>
    <w:p>
      <w:pPr>
        <w:spacing w:after="60" w:before="200"/>
      </w:pPr>
      <w:r>
        <w:rPr>
          <w:rFonts w:ascii="Arial" w:cs="Arial" w:eastAsia="Arial" w:hAnsi="Arial"/>
          <w:b/>
          <w:bCs/>
          <w:color w:val="C0392B"/>
          <w:sz w:val="19"/>
          <w:szCs w:val="19"/>
        </w:rPr>
        <w:t xml:space="preserve">Nikola stays in it</w:t>
      </w:r>
    </w:p>
    <w:p>
      <w:pPr>
        <w:spacing w:after="140" w:line="300"/>
      </w:pPr>
      <w:r>
        <w:rPr>
          <w:rFonts w:ascii="Arial" w:cs="Arial" w:eastAsia="Arial" w:hAnsi="Arial"/>
          <w:i w:val="false"/>
          <w:iCs w:val="false"/>
          <w:color w:val="0D0D0D"/>
          <w:sz w:val="20"/>
          <w:szCs w:val="20"/>
        </w:rPr>
        <w:t xml:space="preserve">Nikola Cvetanovski, our founder, has 20 years of consulting experience across industries. He is not a figurehead. He is in every engagement — reviewing strategy, briefing agents, and stepping in directly when the situation requires human judgment.</w:t>
      </w:r>
    </w:p>
    <w:p>
      <w:pPr>
        <w:spacing w:after="60" w:before="200"/>
      </w:pPr>
      <w:r>
        <w:rPr>
          <w:rFonts w:ascii="Arial" w:cs="Arial" w:eastAsia="Arial" w:hAnsi="Arial"/>
          <w:b/>
          <w:bCs/>
          <w:color w:val="C0392B"/>
          <w:sz w:val="19"/>
          <w:szCs w:val="19"/>
        </w:rPr>
        <w:t xml:space="preserve">We stay accountable to the results</w:t>
      </w:r>
    </w:p>
    <w:p>
      <w:pPr>
        <w:spacing w:after="140" w:line="300"/>
      </w:pPr>
      <w:r>
        <w:rPr>
          <w:rFonts w:ascii="Arial" w:cs="Arial" w:eastAsia="Arial" w:hAnsi="Arial"/>
          <w:i w:val="false"/>
          <w:iCs w:val="false"/>
          <w:color w:val="0D0D0D"/>
          <w:sz w:val="20"/>
          <w:szCs w:val="20"/>
        </w:rPr>
        <w:t xml:space="preserve">Three structured check-ins at 30, 60, and 90 days are built into every engagement — not as an add-on, as a commitment. If something isn't landing, we course-correct. We don't hand you a folder and disappear. What we guarantee is this: what we build for you is exactly what you need — fit for your situation, tied to the outcomes that matter to you, nothing more and nothing less.</w:t>
      </w:r>
    </w:p>
    <w:p>
      <w:pPr>
        <w:pStyle w:val="Heading1"/>
        <w:spacing w:after="140" w:before="340"/>
      </w:pPr>
      <w:r>
        <w:rPr>
          <w:rFonts w:ascii="Arial" w:cs="Arial" w:eastAsia="Arial" w:hAnsi="Arial"/>
          <w:b/>
          <w:bCs/>
          <w:color w:val="0D0D0D"/>
          <w:sz w:val="27"/>
          <w:szCs w:val="27"/>
        </w:rPr>
        <w:t xml:space="preserve">Our Service Packages</w:t>
      </w:r>
    </w:p>
    <w:p>
      <w:pPr>
        <w:spacing w:after="140" w:line="300"/>
      </w:pPr>
      <w:r>
        <w:rPr>
          <w:rFonts w:ascii="Arial" w:cs="Arial" w:eastAsia="Arial" w:hAnsi="Arial"/>
          <w:i w:val="false"/>
          <w:iCs w:val="false"/>
          <w:color w:val="0D0D0D"/>
          <w:sz w:val="20"/>
          <w:szCs w:val="20"/>
        </w:rPr>
        <w:t xml:space="preserve">We offer four engagement options. Every option includes Kickoff, Closeout with Now/Next/Later handover, and 30/60/90 day check-ins. Kaizen — ongoing improvement beyond the 90-day window — is available as an add-on to any package.</w:t>
      </w:r>
    </w:p>
    <w:p>
      <w:pPr>
        <w:spacing w:after="260"/>
      </w:pPr>
    </w:p>
    <w:tbl>
      <w:tblPr>
        <w:tblW w:type="dxa" w:w="9360"/>
        <w:tblBorders>
          <w:top w:val="single" w:color="E0E0E0" w:sz="4"/>
          <w:left w:val="single" w:color="E0E0E0" w:sz="4"/>
          <w:bottom w:val="single" w:color="E0E0E0" w:sz="4"/>
          <w:right w:val="single" w:color="E0E0E0" w:sz="4"/>
          <w:insideH w:val="single" w:color="E0E0E0" w:sz="4"/>
          <w:insideV w:val="single" w:color="E0E0E0" w:sz="4"/>
        </w:tblBorders>
      </w:tblPr>
      <w:tblGrid>
        <w:gridCol w:w="1500"/>
        <w:gridCol w:w="5300"/>
        <w:gridCol w:w="2560"/>
      </w:tblGrid>
      <w:tr>
        <w:tc>
          <w:tcPr>
            <w:tcW w:type="dxa" w:w="1500"/>
            <w:shd w:fill="0D0D0D" w:val="clear"/>
            <w:tcMar>
              <w:top w:type="dxa" w:w="120"/>
              <w:left w:type="dxa" w:w="140"/>
              <w:bottom w:type="dxa" w:w="120"/>
              <w:right w:type="dxa" w:w="140"/>
            </w:tcMar>
          </w:tcPr>
          <w:p>
            <w:r>
              <w:rPr>
                <w:rFonts w:ascii="Arial" w:cs="Arial" w:eastAsia="Arial" w:hAnsi="Arial"/>
                <w:b/>
                <w:bCs/>
                <w:color w:val="FFFFFF"/>
                <w:sz w:val="17"/>
                <w:szCs w:val="17"/>
              </w:rPr>
              <w:t xml:space="preserve">Package</w:t>
            </w:r>
          </w:p>
        </w:tc>
        <w:tc>
          <w:tcPr>
            <w:tcW w:type="dxa" w:w="5300"/>
            <w:shd w:fill="0D0D0D" w:val="clear"/>
            <w:tcMar>
              <w:top w:type="dxa" w:w="120"/>
              <w:left w:type="dxa" w:w="140"/>
              <w:bottom w:type="dxa" w:w="120"/>
              <w:right w:type="dxa" w:w="140"/>
            </w:tcMar>
          </w:tcPr>
          <w:p>
            <w:r>
              <w:rPr>
                <w:rFonts w:ascii="Arial" w:cs="Arial" w:eastAsia="Arial" w:hAnsi="Arial"/>
                <w:b/>
                <w:bCs/>
                <w:color w:val="FFFFFF"/>
                <w:sz w:val="17"/>
                <w:szCs w:val="17"/>
              </w:rPr>
              <w:t xml:space="preserve">What It Includes</w:t>
            </w:r>
          </w:p>
        </w:tc>
        <w:tc>
          <w:tcPr>
            <w:tcW w:type="dxa" w:w="2560"/>
            <w:shd w:fill="0D0D0D" w:val="clear"/>
            <w:tcMar>
              <w:top w:type="dxa" w:w="120"/>
              <w:left w:type="dxa" w:w="140"/>
              <w:bottom w:type="dxa" w:w="120"/>
              <w:right w:type="dxa" w:w="140"/>
            </w:tcMar>
          </w:tcPr>
          <w:p>
            <w:r>
              <w:rPr>
                <w:rFonts w:ascii="Arial" w:cs="Arial" w:eastAsia="Arial" w:hAnsi="Arial"/>
                <w:b/>
                <w:bCs/>
                <w:color w:val="FFFFFF"/>
                <w:sz w:val="17"/>
                <w:szCs w:val="17"/>
              </w:rPr>
              <w:t xml:space="preserve">Best For</w:t>
            </w:r>
          </w:p>
        </w:tc>
      </w:tr>
      <w:tr>
        <w:tc>
          <w:tcPr>
            <w:tcW w:type="dxa" w:w="1500"/>
            <w:shd w:fill="FFFFFF" w:val="clear"/>
            <w:tcMar>
              <w:top w:type="dxa" w:w="120"/>
              <w:left w:type="dxa" w:w="140"/>
              <w:bottom w:type="dxa" w:w="120"/>
              <w:right w:type="dxa" w:w="140"/>
            </w:tcMar>
          </w:tcPr>
          <w:p>
            <w:r>
              <w:rPr>
                <w:rFonts w:ascii="Arial" w:cs="Arial" w:eastAsia="Arial" w:hAnsi="Arial"/>
                <w:color w:val="0D0D0D"/>
                <w:sz w:val="18"/>
                <w:szCs w:val="18"/>
              </w:rPr>
              <w:t xml:space="preserve">Full Engagement + Build</w:t>
            </w:r>
          </w:p>
        </w:tc>
        <w:tc>
          <w:tcPr>
            <w:tcW w:type="dxa" w:w="5300"/>
            <w:shd w:fill="FFFFFF" w:val="clear"/>
            <w:tcMar>
              <w:top w:type="dxa" w:w="120"/>
              <w:left w:type="dxa" w:w="140"/>
              <w:bottom w:type="dxa" w:w="120"/>
              <w:right w:type="dxa" w:w="140"/>
            </w:tcMar>
          </w:tcPr>
          <w:p>
            <w:r>
              <w:rPr>
                <w:rFonts w:ascii="Arial" w:cs="Arial" w:eastAsia="Arial" w:hAnsi="Arial"/>
                <w:color w:val="0D0D0D"/>
                <w:sz w:val="18"/>
                <w:szCs w:val="18"/>
              </w:rPr>
              <w:t xml:space="preserve">$23,000–$40,000+. Everything in Consulting Engagement, plus one well-defined build, at $1,000 off Build Track's standalone price</w:t>
            </w:r>
          </w:p>
        </w:tc>
        <w:tc>
          <w:tcPr>
            <w:tcW w:type="dxa" w:w="2560"/>
            <w:shd w:fill="FFFFFF" w:val="clear"/>
            <w:tcMar>
              <w:top w:type="dxa" w:w="120"/>
              <w:left w:type="dxa" w:w="140"/>
              <w:bottom w:type="dxa" w:w="120"/>
              <w:right w:type="dxa" w:w="140"/>
            </w:tcMar>
          </w:tcPr>
          <w:p>
            <w:r>
              <w:rPr>
                <w:rFonts w:ascii="Arial" w:cs="Arial" w:eastAsia="Arial" w:hAnsi="Arial"/>
                <w:color w:val="0D0D0D"/>
                <w:sz w:val="18"/>
                <w:szCs w:val="18"/>
              </w:rPr>
              <w:t xml:space="preserve">Organizations who want it done end to end — hello to it working</w:t>
            </w:r>
          </w:p>
        </w:tc>
      </w:tr>
      <w:tr>
        <w:tc>
          <w:tcPr>
            <w:tcW w:type="dxa" w:w="1500"/>
            <w:shd w:fill="FAF8F5" w:val="clear"/>
            <w:tcMar>
              <w:top w:type="dxa" w:w="120"/>
              <w:left w:type="dxa" w:w="140"/>
              <w:bottom w:type="dxa" w:w="120"/>
              <w:right w:type="dxa" w:w="140"/>
            </w:tcMar>
          </w:tcPr>
          <w:p>
            <w:r>
              <w:rPr>
                <w:rFonts w:ascii="Arial" w:cs="Arial" w:eastAsia="Arial" w:hAnsi="Arial"/>
                <w:color w:val="0D0D0D"/>
                <w:sz w:val="18"/>
                <w:szCs w:val="18"/>
              </w:rPr>
              <w:t xml:space="preserve">Consulting Engagement</w:t>
            </w:r>
          </w:p>
        </w:tc>
        <w:tc>
          <w:tcPr>
            <w:tcW w:type="dxa" w:w="5300"/>
            <w:shd w:fill="FAF8F5" w:val="clear"/>
            <w:tcMar>
              <w:top w:type="dxa" w:w="120"/>
              <w:left w:type="dxa" w:w="140"/>
              <w:bottom w:type="dxa" w:w="120"/>
              <w:right w:type="dxa" w:w="140"/>
            </w:tcMar>
          </w:tcPr>
          <w:p>
            <w:r>
              <w:rPr>
                <w:rFonts w:ascii="Arial" w:cs="Arial" w:eastAsia="Arial" w:hAnsi="Arial"/>
                <w:color w:val="0D0D0D"/>
                <w:sz w:val="18"/>
                <w:szCs w:val="18"/>
              </w:rPr>
              <w:t xml:space="preserve">$18,000–$35,000. Kickoff · Assessment · Discovery · implementation coaching · 30/60/90 check-ins</w:t>
            </w:r>
          </w:p>
        </w:tc>
        <w:tc>
          <w:tcPr>
            <w:tcW w:type="dxa" w:w="2560"/>
            <w:shd w:fill="FAF8F5" w:val="clear"/>
            <w:tcMar>
              <w:top w:type="dxa" w:w="120"/>
              <w:left w:type="dxa" w:w="140"/>
              <w:bottom w:type="dxa" w:w="120"/>
              <w:right w:type="dxa" w:w="140"/>
            </w:tcMar>
          </w:tcPr>
          <w:p>
            <w:r>
              <w:rPr>
                <w:rFonts w:ascii="Arial" w:cs="Arial" w:eastAsia="Arial" w:hAnsi="Arial"/>
                <w:color w:val="0D0D0D"/>
                <w:sz w:val="18"/>
                <w:szCs w:val="18"/>
              </w:rPr>
              <w:t xml:space="preserve">Organizations ready to diagnose and act on findings with our guidance</w:t>
            </w:r>
          </w:p>
        </w:tc>
      </w:tr>
      <w:tr>
        <w:tc>
          <w:tcPr>
            <w:tcW w:type="dxa" w:w="1500"/>
            <w:shd w:fill="FFFFFF" w:val="clear"/>
            <w:tcMar>
              <w:top w:type="dxa" w:w="120"/>
              <w:left w:type="dxa" w:w="140"/>
              <w:bottom w:type="dxa" w:w="120"/>
              <w:right w:type="dxa" w:w="140"/>
            </w:tcMar>
          </w:tcPr>
          <w:p>
            <w:r>
              <w:rPr>
                <w:rFonts w:ascii="Arial" w:cs="Arial" w:eastAsia="Arial" w:hAnsi="Arial"/>
                <w:color w:val="0D0D0D"/>
                <w:sz w:val="18"/>
                <w:szCs w:val="18"/>
              </w:rPr>
              <w:t xml:space="preserve">Build Track</w:t>
            </w:r>
          </w:p>
        </w:tc>
        <w:tc>
          <w:tcPr>
            <w:tcW w:type="dxa" w:w="5300"/>
            <w:shd w:fill="FFFFFF" w:val="clear"/>
            <w:tcMar>
              <w:top w:type="dxa" w:w="120"/>
              <w:left w:type="dxa" w:w="140"/>
              <w:bottom w:type="dxa" w:w="120"/>
              <w:right w:type="dxa" w:w="140"/>
            </w:tcMar>
          </w:tcPr>
          <w:p>
            <w:r>
              <w:rPr>
                <w:rFonts w:ascii="Arial" w:cs="Arial" w:eastAsia="Arial" w:hAnsi="Arial"/>
                <w:color w:val="0D0D0D"/>
                <w:sz w:val="18"/>
                <w:szCs w:val="18"/>
              </w:rPr>
              <w:t xml:space="preserve">From $6,000. A single, well-defined build — we scope it, build it, hand it over. Fixed fee, confirmed at Assessment</w:t>
            </w:r>
          </w:p>
        </w:tc>
        <w:tc>
          <w:tcPr>
            <w:tcW w:type="dxa" w:w="2560"/>
            <w:shd w:fill="FFFFFF" w:val="clear"/>
            <w:tcMar>
              <w:top w:type="dxa" w:w="120"/>
              <w:left w:type="dxa" w:w="140"/>
              <w:bottom w:type="dxa" w:w="120"/>
              <w:right w:type="dxa" w:w="140"/>
            </w:tcMar>
          </w:tcPr>
          <w:p>
            <w:r>
              <w:rPr>
                <w:rFonts w:ascii="Arial" w:cs="Arial" w:eastAsia="Arial" w:hAnsi="Arial"/>
                <w:color w:val="0D0D0D"/>
                <w:sz w:val="18"/>
                <w:szCs w:val="18"/>
              </w:rPr>
              <w:t xml:space="preserve">Organizations with a clear, scoped need — standalone or bundled with Consulting Engagement</w:t>
            </w:r>
          </w:p>
        </w:tc>
      </w:tr>
      <w:tr>
        <w:tc>
          <w:tcPr>
            <w:tcW w:type="dxa" w:w="1500"/>
            <w:shd w:fill="FAF8F5" w:val="clear"/>
            <w:tcMar>
              <w:top w:type="dxa" w:w="120"/>
              <w:left w:type="dxa" w:w="140"/>
              <w:bottom w:type="dxa" w:w="120"/>
              <w:right w:type="dxa" w:w="140"/>
            </w:tcMar>
          </w:tcPr>
          <w:p>
            <w:r>
              <w:rPr>
                <w:rFonts w:ascii="Arial" w:cs="Arial" w:eastAsia="Arial" w:hAnsi="Arial"/>
                <w:color w:val="0D0D0D"/>
                <w:sz w:val="18"/>
                <w:szCs w:val="18"/>
              </w:rPr>
              <w:t xml:space="preserve">Kaizen</w:t>
            </w:r>
          </w:p>
        </w:tc>
        <w:tc>
          <w:tcPr>
            <w:tcW w:type="dxa" w:w="5300"/>
            <w:shd w:fill="FAF8F5" w:val="clear"/>
            <w:tcMar>
              <w:top w:type="dxa" w:w="120"/>
              <w:left w:type="dxa" w:w="140"/>
              <w:bottom w:type="dxa" w:w="120"/>
              <w:right w:type="dxa" w:w="140"/>
            </w:tcMar>
          </w:tcPr>
          <w:p>
            <w:r>
              <w:rPr>
                <w:rFonts w:ascii="Arial" w:cs="Arial" w:eastAsia="Arial" w:hAnsi="Arial"/>
                <w:color w:val="0D0D0D"/>
                <w:sz w:val="18"/>
                <w:szCs w:val="18"/>
              </w:rPr>
              <w:t xml:space="preserve">$2,500–$5,000/mo. Recurring, anonymous employee interviews feeding an ongoing loop of real fixes, plus strategic check-ins and a standing point of contact</w:t>
            </w:r>
          </w:p>
        </w:tc>
        <w:tc>
          <w:tcPr>
            <w:tcW w:type="dxa" w:w="2560"/>
            <w:shd w:fill="FAF8F5" w:val="clear"/>
            <w:tcMar>
              <w:top w:type="dxa" w:w="120"/>
              <w:left w:type="dxa" w:w="140"/>
              <w:bottom w:type="dxa" w:w="120"/>
              <w:right w:type="dxa" w:w="140"/>
            </w:tcMar>
          </w:tcPr>
          <w:p>
            <w:r>
              <w:rPr>
                <w:rFonts w:ascii="Arial" w:cs="Arial" w:eastAsia="Arial" w:hAnsi="Arial"/>
                <w:color w:val="0D0D0D"/>
                <w:sz w:val="18"/>
                <w:szCs w:val="18"/>
              </w:rPr>
              <w:t xml:space="preserve">Attaches to any package</w:t>
            </w:r>
          </w:p>
        </w:tc>
      </w:tr>
    </w:tbl>
    <w:p>
      <w:pPr>
        <w:spacing w:before="260"/>
      </w:pPr>
    </w:p>
    <w:p>
      <w:pPr>
        <w:pStyle w:val="Heading1"/>
        <w:spacing w:after="140" w:before="340"/>
      </w:pPr>
      <w:r>
        <w:rPr>
          <w:rFonts w:ascii="Arial" w:cs="Arial" w:eastAsia="Arial" w:hAnsi="Arial"/>
          <w:b/>
          <w:bCs/>
          <w:color w:val="0D0D0D"/>
          <w:sz w:val="27"/>
          <w:szCs w:val="27"/>
        </w:rPr>
        <w:t xml:space="preserve">What Happens Next</w:t>
      </w:r>
    </w:p>
    <w:p>
      <w:pPr>
        <w:spacing w:after="140" w:line="300"/>
      </w:pPr>
      <w:r>
        <w:rPr>
          <w:rFonts w:ascii="Arial" w:cs="Arial" w:eastAsia="Arial" w:hAnsi="Arial"/>
          <w:i w:val="false"/>
          <w:iCs w:val="false"/>
          <w:color w:val="0D0D0D"/>
          <w:sz w:val="20"/>
          <w:szCs w:val="20"/>
        </w:rPr>
        <w:t xml:space="preserve">If you've read this far, you're probably trying to figure out whether this is worth a conversation. Here's how to find out:</w:t>
      </w:r>
    </w:p>
    <w:p>
      <w:pPr>
        <w:pStyle w:val="ListParagraph"/>
        <w:numPr>
          <w:ilvl w:val="0"/>
          <w:numId w:val="2"/>
        </w:numPr>
        <w:spacing w:after="90" w:line="290"/>
      </w:pPr>
      <w:r>
        <w:rPr>
          <w:rFonts w:ascii="Arial" w:cs="Arial" w:eastAsia="Arial" w:hAnsi="Arial"/>
          <w:color w:val="0D0D0D"/>
          <w:sz w:val="20"/>
          <w:szCs w:val="20"/>
        </w:rPr>
        <w:t xml:space="preserve">The Assessment is where we start — it's a low-commitment session, and gives you something concrete regardless of whether you engage further.</w:t>
      </w:r>
    </w:p>
    <w:p>
      <w:pPr>
        <w:pStyle w:val="ListParagraph"/>
        <w:numPr>
          <w:ilvl w:val="0"/>
          <w:numId w:val="2"/>
        </w:numPr>
        <w:spacing w:after="90" w:line="290"/>
      </w:pPr>
      <w:r>
        <w:rPr>
          <w:rFonts w:ascii="Arial" w:cs="Arial" w:eastAsia="Arial" w:hAnsi="Arial"/>
          <w:color w:val="0D0D0D"/>
          <w:sz w:val="20"/>
          <w:szCs w:val="20"/>
        </w:rPr>
        <w:t xml:space="preserve">Before that, Marcus — our Head of Client Success — can answer any questions you have about the process, the team, or whether this is the right fit.</w:t>
      </w:r>
    </w:p>
    <w:p>
      <w:pPr>
        <w:pStyle w:val="ListParagraph"/>
        <w:numPr>
          <w:ilvl w:val="0"/>
          <w:numId w:val="2"/>
        </w:numPr>
        <w:spacing w:after="90" w:line="290"/>
      </w:pPr>
      <w:r>
        <w:rPr>
          <w:rFonts w:ascii="Arial" w:cs="Arial" w:eastAsia="Arial" w:hAnsi="Arial"/>
          <w:color w:val="0D0D0D"/>
          <w:sz w:val="20"/>
          <w:szCs w:val="20"/>
        </w:rPr>
        <w:t xml:space="preserve">If you're not ready for either, that's fine. This document exists so you can make an informed decision on your timeline, not ours.</w:t>
      </w:r>
    </w:p>
    <w:p>
      <w:pPr>
        <w:spacing w:after="40" w:before="220"/>
      </w:pPr>
      <w:r>
        <w:rPr>
          <w:rFonts w:ascii="Arial" w:cs="Arial" w:eastAsia="Arial" w:hAnsi="Arial"/>
          <w:b/>
          <w:bCs/>
          <w:color w:val="0D0D0D"/>
          <w:sz w:val="19"/>
          <w:szCs w:val="19"/>
        </w:rPr>
        <w:t xml:space="preserve">nikola@greydog.ai  ·  greydog.ai  ·  Phoenix, AZ</w:t>
      </w:r>
    </w:p>
    <w:p>
      <w:pPr>
        <w:spacing w:after="100" w:before="100"/>
      </w:pPr>
      <w:r>
        <w:rPr>
          <w:rFonts w:ascii="Arial" w:cs="Arial" w:eastAsia="Arial" w:hAnsi="Arial"/>
          <w:i/>
          <w:iCs/>
          <w:color w:val="6B6B6B"/>
          <w:sz w:val="18"/>
          <w:szCs w:val="18"/>
        </w:rPr>
        <w:t xml:space="preserve">We're a small team. Real people answer that email.</w:t>
      </w:r>
    </w:p>
    <w:sectPr>
      <w:footerReference w:type="default" r:id="rId7"/>
      <w:pgSz w:w="12240" w:h="15840" w:orient="portrait"/>
      <w:pgMar w:top="1224" w:right="1224" w:bottom="1224"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4" w:space="8"/>
      </w:pBdr>
      <w:tabs>
        <w:tab w:val="right" w:pos="9026"/>
      </w:tabs>
    </w:pPr>
    <w:r>
      <w:rPr>
        <w:rFonts w:ascii="Arial" w:cs="Arial" w:eastAsia="Arial" w:hAnsi="Arial"/>
        <w:color w:val="6B6B6B"/>
        <w:sz w:val="16"/>
        <w:szCs w:val="16"/>
      </w:rPr>
      <w:t xml:space="preserve">Greydog.AI   ·   greydog.ai</w:t>
    </w:r>
    <w:r>
      <w:rPr>
        <w:rFonts w:ascii="Arial" w:cs="Arial" w:eastAsia="Arial" w:hAnsi="Arial"/>
        <w:color w:val="6B6B6B"/>
        <w:sz w:val="16"/>
        <w:szCs w:val="16"/>
      </w:rPr>
      <w:t xml:space="preserve">	Pre-Engagement Overview   ·   p. </w:t>
    </w:r>
    <w:r>
      <w:rPr>
        <w:rFonts w:ascii="Arial" w:cs="Arial" w:eastAsia="Arial" w:hAnsi="Arial"/>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lvl w:ilvl="1" w15:tentative="1">
      <w:start w:val="1"/>
      <w:numFmt w:val="bullet"/>
      <w:lvlText w:val="–"/>
      <w:lvlJc w:val="left"/>
      <w:pPr>
        <w:ind w:left="8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4147fabdd6907ede00e25b57bce8125092f082c.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2026-07-17T20:25:29.599Z</dcterms:created>
  <dcterms:modified xsi:type="dcterms:W3CDTF">2026-07-17T20:25:29.600Z</dcterms:modified>
</cp:coreProperties>
</file>

<file path=docProps/custom.xml><?xml version="1.0" encoding="utf-8"?>
<Properties xmlns="http://schemas.openxmlformats.org/officeDocument/2006/custom-properties" xmlns:vt="http://schemas.openxmlformats.org/officeDocument/2006/docPropsVTypes"/>
</file>